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pBdr>
          <w:bottom w:val="single" w:sz="12" w:space="6" w:color="1F6FEB"/>
        </w:pBdr>
      </w:pPr>
      <w:r>
        <w:rPr>
          <w:rFonts w:ascii="Calibri" w:hAnsi="Calibri" w:eastAsia="Calibri"/>
          <w:b/>
          <w:color w:val="1F6FEB"/>
          <w:sz w:val="22"/>
        </w:rPr>
        <w:t>LABKITPRO</w:t>
      </w:r>
      <w:r>
        <w:rPr>
          <w:rFonts w:ascii="Calibri" w:hAnsi="Calibri" w:eastAsia="Calibri"/>
          <w:color w:val="5B6B7F"/>
          <w:sz w:val="18"/>
        </w:rPr>
        <w:t xml:space="preserve">   |   ISO/IEC 17025:2017 toolkit   |   Compliance Review</w:t>
      </w:r>
    </w:p>
    <w:p>
      <w:pPr>
        <w:spacing w:before="200" w:after="40"/>
      </w:pPr>
      <w:r>
        <w:rPr>
          <w:rFonts w:ascii="Calibri" w:hAnsi="Calibri" w:eastAsia="Calibri"/>
          <w:b/>
          <w:color w:val="0F2A4A"/>
          <w:sz w:val="38"/>
        </w:rPr>
        <w:t>ISO/IEC 17025:2017 Compliance Review</w:t>
      </w:r>
    </w:p>
    <w:p>
      <w:pPr>
        <w:spacing w:after="80"/>
      </w:pPr>
      <w:r>
        <w:rPr>
          <w:rFonts w:ascii="Calibri" w:hAnsi="Calibri" w:eastAsia="Calibri"/>
          <w:i/>
          <w:color w:val="5B6B7F"/>
          <w:sz w:val="20"/>
        </w:rPr>
        <w:t>FR-25 internal-audit checklist · generic gap analysis · not tailored to any document</w:t>
      </w:r>
    </w:p>
    <w:p/>
    <w:p>
      <w:pPr w:spacing="160">
        <w:spacing w:before="40" w:after="240"/>
        <w:shd w:val="clear" w:color="auto" w:fill="FFF7ED"/>
        <w:pBdr>
          <w:left w:val="single" w:sz="30" w:space="6" w:color="F59E0B"/>
        </w:pBdr>
      </w:pPr>
      <w:r>
        <w:rPr>
          <w:rFonts w:ascii="Calibri" w:hAnsi="Calibri" w:eastAsia="Calibri"/>
          <w:b/>
          <w:color w:val="B45309"/>
          <w:sz w:val="21"/>
        </w:rPr>
        <w:t>DEMO SAMPLE — what this file is</w:t>
        <w:br/>
      </w:r>
      <w:r>
        <w:rPr>
          <w:rFonts w:ascii="Calibri" w:hAnsi="Calibri" w:eastAsia="Calibri"/>
          <w:color w:val="B45309"/>
          <w:sz w:val="19"/>
        </w:rPr>
        <w:t>A generic sample showing the structure and depth of a LabKitPro Compliance Review. The paid full version is built from your own self-assessment ratings plus your country / body / industry context, and adds the corrective-action guidance and linked remediation documents.</w:t>
      </w:r>
    </w:p>
    <w:p>
      <w:pPr>
        <w:spacing w:before="280" w:after="100"/>
        <w:pBdr>
          <w:bottom w:val="single" w:sz="6" w:space="6" w:color="0F2A4A"/>
        </w:pBdr>
      </w:pPr>
      <w:r>
        <w:rPr>
          <w:rFonts w:ascii="Calibri" w:hAnsi="Calibri" w:eastAsia="Calibri"/>
          <w:b/>
          <w:color w:val="0F2A4A"/>
          <w:sz w:val="27"/>
        </w:rPr>
        <w:t>1  Purpose</w:t>
      </w:r>
    </w:p>
    <w:p>
      <w:pPr>
        <w:spacing w:after="100" w:line="269" w:lineRule="auto"/>
      </w:pPr>
      <w:r>
        <w:rPr>
          <w:rFonts w:ascii="Calibri" w:hAnsi="Calibri" w:eastAsia="Calibri"/>
          <w:b w:val="0"/>
          <w:i w:val="0"/>
          <w:color w:val="14202E"/>
          <w:sz w:val="21"/>
        </w:rPr>
        <w:t>Clause-by-clause self-assessment against the FR-25 internal-audit checklist (119 items) of ISO/IEC 17025:2017, producing a conformity rate per clause section, the weakest clause, and a gap and corrective-action list mapped to the laboratory’s own documents. A screen of an uploaded document reports only which audit points the document mentions — it is a coverage screen, not a compliance judgement.</w:t>
      </w:r>
    </w:p>
    <w:p>
      <w:pPr>
        <w:spacing w:before="280" w:after="100"/>
        <w:pBdr>
          <w:bottom w:val="single" w:sz="6" w:space="6" w:color="0F2A4A"/>
        </w:pBdr>
      </w:pPr>
      <w:r>
        <w:rPr>
          <w:rFonts w:ascii="Calibri" w:hAnsi="Calibri" w:eastAsia="Calibri"/>
          <w:b/>
          <w:color w:val="0F2A4A"/>
          <w:sz w:val="27"/>
        </w:rPr>
        <w:t>2  Readiness summary (sample)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30"/>
        <w:gridCol w:w="1930"/>
        <w:gridCol w:w="1930"/>
        <w:gridCol w:w="1930"/>
        <w:gridCol w:w="1930"/>
      </w:tblGrid>
      <w:tr>
        <w:tc>
          <w:tcPr>
            <w:tcW w:type="dxa" w:w="1800"/>
            <w:shd w:val="clear" w:color="auto" w:fill="0F2A4A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b/>
                <w:color w:val="FFFFFF"/>
                <w:sz w:val="18"/>
              </w:rPr>
              <w:t>Area</w:t>
            </w:r>
          </w:p>
        </w:tc>
        <w:tc>
          <w:tcPr>
            <w:tcW w:type="dxa" w:w="864"/>
            <w:shd w:val="clear" w:color="auto" w:fill="0F2A4A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b/>
                <w:color w:val="FFFFFF"/>
                <w:sz w:val="18"/>
              </w:rPr>
              <w:t>Items</w:t>
            </w:r>
          </w:p>
        </w:tc>
        <w:tc>
          <w:tcPr>
            <w:tcW w:type="dxa" w:w="1296"/>
            <w:shd w:val="clear" w:color="auto" w:fill="0F2A4A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b/>
                <w:color w:val="FFFFFF"/>
                <w:sz w:val="18"/>
              </w:rPr>
              <w:t>Compliant</w:t>
            </w:r>
          </w:p>
        </w:tc>
        <w:tc>
          <w:tcPr>
            <w:tcW w:type="dxa" w:w="1296"/>
            <w:shd w:val="clear" w:color="auto" w:fill="0F2A4A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b/>
                <w:color w:val="FFFFFF"/>
                <w:sz w:val="18"/>
              </w:rPr>
              <w:t>Readiness</w:t>
            </w:r>
          </w:p>
        </w:tc>
        <w:tc>
          <w:tcPr>
            <w:tcW w:type="dxa" w:w="3312"/>
            <w:shd w:val="clear" w:color="auto" w:fill="0F2A4A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b/>
                <w:color w:val="FFFFFF"/>
                <w:sz w:val="18"/>
              </w:rPr>
              <w:t>Weakest point</w:t>
            </w:r>
          </w:p>
        </w:tc>
      </w:tr>
      <w:tr>
        <w:tc>
          <w:tcPr>
            <w:tcW w:type="dxa" w:w="1800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§4 General</w:t>
            </w:r>
          </w:p>
        </w:tc>
        <w:tc>
          <w:tcPr>
            <w:tcW w:type="dxa" w:w="864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8</w:t>
            </w:r>
          </w:p>
        </w:tc>
        <w:tc>
          <w:tcPr>
            <w:tcW w:type="dxa" w:w="1296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7</w:t>
            </w:r>
          </w:p>
        </w:tc>
        <w:tc>
          <w:tcPr>
            <w:tcW w:type="dxa" w:w="1296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88%</w:t>
            </w:r>
          </w:p>
        </w:tc>
        <w:tc>
          <w:tcPr>
            <w:tcW w:type="dxa" w:w="3312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Impartiality commitment re-dating</w:t>
            </w:r>
          </w:p>
        </w:tc>
      </w:tr>
      <w:tr>
        <w:tc>
          <w:tcPr>
            <w:tcW w:type="dxa" w:w="1800"/>
            <w:shd w:val="clear" w:color="auto" w:fill="F3F7FC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§5 Structural</w:t>
            </w:r>
          </w:p>
        </w:tc>
        <w:tc>
          <w:tcPr>
            <w:tcW w:type="dxa" w:w="864"/>
            <w:shd w:val="clear" w:color="auto" w:fill="F3F7FC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6</w:t>
            </w:r>
          </w:p>
        </w:tc>
        <w:tc>
          <w:tcPr>
            <w:tcW w:type="dxa" w:w="1296"/>
            <w:shd w:val="clear" w:color="auto" w:fill="F3F7FC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5</w:t>
            </w:r>
          </w:p>
        </w:tc>
        <w:tc>
          <w:tcPr>
            <w:tcW w:type="dxa" w:w="1296"/>
            <w:shd w:val="clear" w:color="auto" w:fill="F3F7FC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83%</w:t>
            </w:r>
          </w:p>
        </w:tc>
        <w:tc>
          <w:tcPr>
            <w:tcW w:type="dxa" w:w="3312"/>
            <w:shd w:val="clear" w:color="auto" w:fill="F3F7FC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Responsibility matrix completeness</w:t>
            </w:r>
          </w:p>
        </w:tc>
      </w:tr>
      <w:tr>
        <w:tc>
          <w:tcPr>
            <w:tcW w:type="dxa" w:w="1800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§6 Resource</w:t>
            </w:r>
          </w:p>
        </w:tc>
        <w:tc>
          <w:tcPr>
            <w:tcW w:type="dxa" w:w="864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24</w:t>
            </w:r>
          </w:p>
        </w:tc>
        <w:tc>
          <w:tcPr>
            <w:tcW w:type="dxa" w:w="1296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15</w:t>
            </w:r>
          </w:p>
        </w:tc>
        <w:tc>
          <w:tcPr>
            <w:tcW w:type="dxa" w:w="1296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63%</w:t>
            </w:r>
          </w:p>
        </w:tc>
        <w:tc>
          <w:tcPr>
            <w:tcW w:type="dxa" w:w="3312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Competence monitoring</w:t>
            </w:r>
          </w:p>
        </w:tc>
      </w:tr>
      <w:tr>
        <w:tc>
          <w:tcPr>
            <w:tcW w:type="dxa" w:w="1800"/>
            <w:shd w:val="clear" w:color="auto" w:fill="F3F7FC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§7 Process</w:t>
            </w:r>
          </w:p>
        </w:tc>
        <w:tc>
          <w:tcPr>
            <w:tcW w:type="dxa" w:w="864"/>
            <w:shd w:val="clear" w:color="auto" w:fill="F3F7FC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49</w:t>
            </w:r>
          </w:p>
        </w:tc>
        <w:tc>
          <w:tcPr>
            <w:tcW w:type="dxa" w:w="1296"/>
            <w:shd w:val="clear" w:color="auto" w:fill="F3F7FC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30</w:t>
            </w:r>
          </w:p>
        </w:tc>
        <w:tc>
          <w:tcPr>
            <w:tcW w:type="dxa" w:w="1296"/>
            <w:shd w:val="clear" w:color="auto" w:fill="F3F7FC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61%</w:t>
            </w:r>
          </w:p>
        </w:tc>
        <w:tc>
          <w:tcPr>
            <w:tcW w:type="dxa" w:w="3312"/>
            <w:shd w:val="clear" w:color="auto" w:fill="F3F7FC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Method validation evidence</w:t>
            </w:r>
          </w:p>
        </w:tc>
      </w:tr>
      <w:tr>
        <w:tc>
          <w:tcPr>
            <w:tcW w:type="dxa" w:w="1800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§8 Management</w:t>
            </w:r>
          </w:p>
        </w:tc>
        <w:tc>
          <w:tcPr>
            <w:tcW w:type="dxa" w:w="864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32</w:t>
            </w:r>
          </w:p>
        </w:tc>
        <w:tc>
          <w:tcPr>
            <w:tcW w:type="dxa" w:w="1296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22</w:t>
            </w:r>
          </w:p>
        </w:tc>
        <w:tc>
          <w:tcPr>
            <w:tcW w:type="dxa" w:w="1296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69%</w:t>
            </w:r>
          </w:p>
        </w:tc>
        <w:tc>
          <w:tcPr>
            <w:tcW w:type="dxa" w:w="3312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Internal-audit trail</w:t>
            </w:r>
          </w:p>
        </w:tc>
      </w:tr>
    </w:tbl>
    <w:p>
      <w:pPr>
        <w:spacing w:before="280" w:after="100"/>
        <w:pBdr>
          <w:bottom w:val="single" w:sz="6" w:space="6" w:color="0F2A4A"/>
        </w:pBdr>
      </w:pPr>
      <w:r>
        <w:rPr>
          <w:rFonts w:ascii="Calibri" w:hAnsi="Calibri" w:eastAsia="Calibri"/>
          <w:b/>
          <w:color w:val="0F2A4A"/>
          <w:sz w:val="27"/>
        </w:rPr>
        <w:t>3  Sample gap and corrective-action list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12"/>
        <w:gridCol w:w="2412"/>
        <w:gridCol w:w="2412"/>
        <w:gridCol w:w="2412"/>
      </w:tblGrid>
      <w:tr>
        <w:tc>
          <w:tcPr>
            <w:tcW w:type="dxa" w:w="936"/>
            <w:shd w:val="clear" w:color="auto" w:fill="0F2A4A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b/>
                <w:color w:val="FFFFFF"/>
                <w:sz w:val="18"/>
              </w:rPr>
              <w:t>Clause</w:t>
            </w:r>
          </w:p>
        </w:tc>
        <w:tc>
          <w:tcPr>
            <w:tcW w:type="dxa" w:w="3240"/>
            <w:shd w:val="clear" w:color="auto" w:fill="0F2A4A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b/>
                <w:color w:val="FFFFFF"/>
                <w:sz w:val="18"/>
              </w:rPr>
              <w:t>Finding (sample)</w:t>
            </w:r>
          </w:p>
        </w:tc>
        <w:tc>
          <w:tcPr>
            <w:tcW w:type="dxa" w:w="2304"/>
            <w:shd w:val="clear" w:color="auto" w:fill="0F2A4A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b/>
                <w:color w:val="FFFFFF"/>
                <w:sz w:val="18"/>
              </w:rPr>
              <w:t>Required evidence</w:t>
            </w:r>
          </w:p>
        </w:tc>
        <w:tc>
          <w:tcPr>
            <w:tcW w:type="dxa" w:w="2448"/>
            <w:shd w:val="clear" w:color="auto" w:fill="0F2A4A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b/>
                <w:color w:val="FFFFFF"/>
                <w:sz w:val="18"/>
              </w:rPr>
              <w:t>Corrective-action hint</w:t>
            </w:r>
          </w:p>
        </w:tc>
      </w:tr>
      <w:tr>
        <w:tc>
          <w:tcPr>
            <w:tcW w:type="dxa" w:w="936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§6.2</w:t>
            </w:r>
          </w:p>
        </w:tc>
        <w:tc>
          <w:tcPr>
            <w:tcW w:type="dxa" w:w="3240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Personnel competence records incomplete for two analysts</w:t>
            </w:r>
          </w:p>
        </w:tc>
        <w:tc>
          <w:tcPr>
            <w:tcW w:type="dxa" w:w="2304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Training and authorisation log</w:t>
            </w:r>
          </w:p>
        </w:tc>
        <w:tc>
          <w:tcPr>
            <w:tcW w:type="dxa" w:w="2448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Complete records; re-authorise on the record</w:t>
            </w:r>
          </w:p>
        </w:tc>
      </w:tr>
      <w:tr>
        <w:tc>
          <w:tcPr>
            <w:tcW w:type="dxa" w:w="936"/>
            <w:shd w:val="clear" w:color="auto" w:fill="F3F7FC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§7.2</w:t>
            </w:r>
          </w:p>
        </w:tc>
        <w:tc>
          <w:tcPr>
            <w:tcW w:type="dxa" w:w="3240"/>
            <w:shd w:val="clear" w:color="auto" w:fill="F3F7FC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Method validation evidence thin for two scope methods</w:t>
            </w:r>
          </w:p>
        </w:tc>
        <w:tc>
          <w:tcPr>
            <w:tcW w:type="dxa" w:w="2304"/>
            <w:shd w:val="clear" w:color="auto" w:fill="F3F7FC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Validation report per method</w:t>
            </w:r>
          </w:p>
        </w:tc>
        <w:tc>
          <w:tcPr>
            <w:tcW w:type="dxa" w:w="2448"/>
            <w:shd w:val="clear" w:color="auto" w:fill="F3F7FC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Validate against the scope; keep the raw data</w:t>
            </w:r>
          </w:p>
        </w:tc>
      </w:tr>
      <w:tr>
        <w:tc>
          <w:tcPr>
            <w:tcW w:type="dxa" w:w="936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§7.7</w:t>
            </w:r>
          </w:p>
        </w:tc>
        <w:tc>
          <w:tcPr>
            <w:tcW w:type="dxa" w:w="3240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QC / proficiency-testing coverage partial</w:t>
            </w:r>
          </w:p>
        </w:tc>
        <w:tc>
          <w:tcPr>
            <w:tcW w:type="dxa" w:w="2304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Control charts and PT records</w:t>
            </w:r>
          </w:p>
        </w:tc>
        <w:tc>
          <w:tcPr>
            <w:tcW w:type="dxa" w:w="2448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Define the monitoring plan; act on trends</w:t>
            </w:r>
          </w:p>
        </w:tc>
      </w:tr>
      <w:tr>
        <w:tc>
          <w:tcPr>
            <w:tcW w:type="dxa" w:w="936"/>
            <w:shd w:val="clear" w:color="auto" w:fill="F3F7FC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§7.5</w:t>
            </w:r>
          </w:p>
        </w:tc>
        <w:tc>
          <w:tcPr>
            <w:tcW w:type="dxa" w:w="3240"/>
            <w:shd w:val="clear" w:color="auto" w:fill="F3F7FC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Uncertainty budgets exist but are not maintained</w:t>
            </w:r>
          </w:p>
        </w:tc>
        <w:tc>
          <w:tcPr>
            <w:tcW w:type="dxa" w:w="2304"/>
            <w:shd w:val="clear" w:color="auto" w:fill="F3F7FC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Current budget per scope</w:t>
            </w:r>
          </w:p>
        </w:tc>
        <w:tc>
          <w:tcPr>
            <w:tcW w:type="dxa" w:w="2448"/>
            <w:shd w:val="clear" w:color="auto" w:fill="F3F7FC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Refresh budgets; record reviewers</w:t>
            </w:r>
          </w:p>
        </w:tc>
      </w:tr>
      <w:tr>
        <w:tc>
          <w:tcPr>
            <w:tcW w:type="dxa" w:w="936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§8.3</w:t>
            </w:r>
          </w:p>
        </w:tc>
        <w:tc>
          <w:tcPr>
            <w:tcW w:type="dxa" w:w="3240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Internal-audit trail sparse</w:t>
            </w:r>
          </w:p>
        </w:tc>
        <w:tc>
          <w:tcPr>
            <w:tcW w:type="dxa" w:w="2304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Audit plan and findings log</w:t>
            </w:r>
          </w:p>
        </w:tc>
        <w:tc>
          <w:tcPr>
            <w:tcW w:type="dxa" w:w="2448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Plan, run and log an audit; verify closure</w:t>
            </w:r>
          </w:p>
        </w:tc>
      </w:tr>
      <w:tr>
        <w:tc>
          <w:tcPr>
            <w:tcW w:type="dxa" w:w="936"/>
            <w:shd w:val="clear" w:color="auto" w:fill="F3F7FC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§8.9</w:t>
            </w:r>
          </w:p>
        </w:tc>
        <w:tc>
          <w:tcPr>
            <w:tcW w:type="dxa" w:w="3240"/>
            <w:shd w:val="clear" w:color="auto" w:fill="F3F7FC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Management review inputs not fully recorded</w:t>
            </w:r>
          </w:p>
        </w:tc>
        <w:tc>
          <w:tcPr>
            <w:tcW w:type="dxa" w:w="2304"/>
            <w:shd w:val="clear" w:color="auto" w:fill="F3F7FC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Management review record</w:t>
            </w:r>
          </w:p>
        </w:tc>
        <w:tc>
          <w:tcPr>
            <w:tcW w:type="dxa" w:w="2448"/>
            <w:shd w:val="clear" w:color="auto" w:fill="F3F7FC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Use a structured input/output record</w:t>
            </w:r>
          </w:p>
        </w:tc>
      </w:tr>
    </w:tbl>
    <w:p>
      <w:pPr>
        <w:spacing w:before="280" w:after="100"/>
        <w:pBdr>
          <w:bottom w:val="single" w:sz="6" w:space="6" w:color="0F2A4A"/>
        </w:pBdr>
      </w:pPr>
      <w:r>
        <w:rPr>
          <w:rFonts w:ascii="Calibri" w:hAnsi="Calibri" w:eastAsia="Calibri"/>
          <w:b/>
          <w:color w:val="0F2A4A"/>
          <w:sz w:val="27"/>
        </w:rPr>
        <w:t>4  How a correction is closed (sample workflow)</w:t>
      </w:r>
    </w:p>
    <w:p>
      <w:pPr>
        <w:pStyle w:val="ListNumber"/>
        <w:spacing w:after="60"/>
      </w:pPr>
      <w:r>
        <w:rPr>
          <w:rFonts w:ascii="Calibri" w:hAnsi="Calibri" w:eastAsia="Calibri"/>
          <w:color w:val="14202E"/>
          <w:sz w:val="21"/>
        </w:rPr>
        <w:t>Record the finding against the clause and the evidence inspected.</w:t>
      </w:r>
    </w:p>
    <w:p>
      <w:pPr>
        <w:pStyle w:val="ListNumber"/>
        <w:spacing w:after="60"/>
      </w:pPr>
      <w:r>
        <w:rPr>
          <w:rFonts w:ascii="Calibri" w:hAnsi="Calibri" w:eastAsia="Calibri"/>
          <w:color w:val="14202E"/>
          <w:sz w:val="21"/>
        </w:rPr>
        <w:t>Contain the immediate effect (correction) and record it.</w:t>
      </w:r>
    </w:p>
    <w:p>
      <w:pPr>
        <w:pStyle w:val="ListNumber"/>
        <w:spacing w:after="60"/>
      </w:pPr>
      <w:r>
        <w:rPr>
          <w:rFonts w:ascii="Calibri" w:hAnsi="Calibri" w:eastAsia="Calibri"/>
          <w:color w:val="14202E"/>
          <w:sz w:val="21"/>
        </w:rPr>
        <w:t>Determine the root cause — why the requirement was not met.</w:t>
      </w:r>
    </w:p>
    <w:p>
      <w:pPr>
        <w:pStyle w:val="ListNumber"/>
        <w:spacing w:after="60"/>
      </w:pPr>
      <w:r>
        <w:rPr>
          <w:rFonts w:ascii="Calibri" w:hAnsi="Calibri" w:eastAsia="Calibri"/>
          <w:color w:val="14202E"/>
          <w:sz w:val="21"/>
        </w:rPr>
        <w:t>Define and implement the corrective action, with an owner and a due date.</w:t>
      </w:r>
    </w:p>
    <w:p>
      <w:pPr>
        <w:pStyle w:val="ListNumber"/>
        <w:spacing w:after="60"/>
      </w:pPr>
      <w:r>
        <w:rPr>
          <w:rFonts w:ascii="Calibri" w:hAnsi="Calibri" w:eastAsia="Calibri"/>
          <w:color w:val="14202E"/>
          <w:sz w:val="21"/>
        </w:rPr>
        <w:t>Verify effectiveness at a defined interval, and close the record only then.</w:t>
      </w:r>
    </w:p>
    <w:p>
      <w:pPr>
        <w:spacing w:before="280" w:after="100"/>
        <w:pBdr>
          <w:bottom w:val="single" w:sz="6" w:space="6" w:color="0F2A4A"/>
        </w:pBdr>
      </w:pPr>
      <w:r>
        <w:rPr>
          <w:rFonts w:ascii="Calibri" w:hAnsi="Calibri" w:eastAsia="Calibri"/>
          <w:b/>
          <w:color w:val="0F2A4A"/>
          <w:sz w:val="27"/>
        </w:rPr>
        <w:t>5  What the full deliverable adds</w:t>
      </w:r>
    </w:p>
    <w:p>
      <w:pPr>
        <w:pStyle w:val="ListBullet"/>
        <w:spacing w:after="60"/>
      </w:pPr>
      <w:r>
        <w:rPr>
          <w:rFonts w:ascii="Calibri" w:hAnsi="Calibri" w:eastAsia="Calibri"/>
          <w:color w:val="5B6B7F"/>
          <w:sz w:val="21"/>
        </w:rPr>
        <w:t xml:space="preserve">Your overall readiness rate — </w:t>
      </w:r>
      <w:r>
        <w:rPr>
          <w:rFonts w:ascii="Calibri" w:hAnsi="Calibri" w:eastAsia="Calibri"/>
          <w:b/>
          <w:color w:val="0F2A4A"/>
          <w:sz w:val="21"/>
        </w:rPr>
        <w:t>and the weakest clause, computed from your own ratings.</w:t>
      </w:r>
    </w:p>
    <w:p>
      <w:pPr>
        <w:pStyle w:val="ListBullet"/>
        <w:spacing w:after="60"/>
      </w:pPr>
      <w:r>
        <w:rPr>
          <w:rFonts w:ascii="Calibri" w:hAnsi="Calibri" w:eastAsia="Calibri"/>
          <w:color w:val="5B6B7F"/>
          <w:sz w:val="21"/>
        </w:rPr>
        <w:t xml:space="preserve">Body-specific focus — </w:t>
      </w:r>
      <w:r>
        <w:rPr>
          <w:rFonts w:ascii="Calibri" w:hAnsi="Calibri" w:eastAsia="Calibri"/>
          <w:b/>
          <w:color w:val="0F2A4A"/>
          <w:sz w:val="21"/>
        </w:rPr>
        <w:t>review points for YOUR body (A2LA / UKAS / NABL / …).</w:t>
      </w:r>
    </w:p>
    <w:p>
      <w:pPr>
        <w:pStyle w:val="ListBullet"/>
        <w:spacing w:after="60"/>
      </w:pPr>
      <w:r>
        <w:rPr>
          <w:rFonts w:ascii="Calibri" w:hAnsi="Calibri" w:eastAsia="Calibri"/>
          <w:color w:val="5B6B7F"/>
          <w:sz w:val="21"/>
        </w:rPr>
        <w:t xml:space="preserve">Industry focus woven in — </w:t>
      </w:r>
      <w:r>
        <w:rPr>
          <w:rFonts w:ascii="Calibri" w:hAnsi="Calibri" w:eastAsia="Calibri"/>
          <w:b/>
          <w:color w:val="0F2A4A"/>
          <w:sz w:val="21"/>
        </w:rPr>
        <w:t>so findings reflect your testing or calibration field.</w:t>
      </w:r>
    </w:p>
    <w:p>
      <w:pPr>
        <w:pStyle w:val="ListBullet"/>
        <w:spacing w:after="60"/>
      </w:pPr>
      <w:r>
        <w:rPr>
          <w:rFonts w:ascii="Calibri" w:hAnsi="Calibri" w:eastAsia="Calibri"/>
          <w:color w:val="5B6B7F"/>
          <w:sz w:val="21"/>
        </w:rPr>
        <w:t xml:space="preserve">Linked remediation templates — </w:t>
      </w:r>
      <w:r>
        <w:rPr>
          <w:rFonts w:ascii="Calibri" w:hAnsi="Calibri" w:eastAsia="Calibri"/>
          <w:b/>
          <w:color w:val="0F2A4A"/>
          <w:sz w:val="21"/>
        </w:rPr>
        <w:t>from the ISO/IEC 17025 knowledge base.</w:t>
      </w:r>
    </w:p>
    <w:p>
      <w:pPr>
        <w:pStyle w:val="ListBullet"/>
        <w:spacing w:after="60"/>
      </w:pPr>
      <w:r>
        <w:rPr>
          <w:rFonts w:ascii="Calibri" w:hAnsi="Calibri" w:eastAsia="Calibri"/>
          <w:color w:val="5B6B7F"/>
          <w:sz w:val="21"/>
        </w:rPr>
        <w:t xml:space="preserve">Exportable, watermark-free Word (.docx) — </w:t>
      </w:r>
      <w:r>
        <w:rPr>
          <w:rFonts w:ascii="Calibri" w:hAnsi="Calibri" w:eastAsia="Calibri"/>
          <w:b/>
          <w:color w:val="0F2A4A"/>
          <w:sz w:val="21"/>
        </w:rPr>
        <w:t>ready for your quality file.</w:t>
      </w:r>
    </w:p>
    <w:p>
      <w:pPr>
        <w:spacing w:after="80" w:line="269" w:lineRule="auto"/>
      </w:pPr>
      <w:r>
        <w:rPr>
          <w:rFonts w:ascii="Calibri" w:hAnsi="Calibri" w:eastAsia="Calibri"/>
          <w:b w:val="0"/>
          <w:i/>
          <w:color w:val="5B6B7F"/>
          <w:sz w:val="19"/>
        </w:rPr>
        <w:t>This is a generic demonstration sample produced by LabKitPro. It shows structure, wording and evidence logic only — none of your personalization inputs (country, accreditation body, industry, stage, uploaded documents) are applied. The full, tailored and watermark-free deliverable is generated from your context at labkitpro.com.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24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color w:val="94A3B8"/>
        <w:sz w:val="17"/>
      </w:rPr>
      <w:t xml:space="preserve">LabKitPro  ·  ISO/IEC 17025:2017 toolkit  ·  labkitpro.com        Page </w:t>
    </w:r>
    <w:r>
      <w:rPr>
        <w:rFonts w:ascii="Calibri" w:hAnsi="Calibri" w:eastAsia="Calibri"/>
        <w:color w:val="94A3B8"/>
        <w:sz w:val="17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 w:eastAsia="Calibri"/>
        <w:b/>
        <w:color w:val="94A3B8"/>
        <w:sz w:val="16"/>
      </w:rPr>
      <w:t>DEMO SAMPLE  ·  NOT A FULL DELIVERABLE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