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pBdr>
          <w:bottom w:val="single" w:sz="12" w:space="6" w:color="1F6FEB"/>
        </w:pBdr>
      </w:pPr>
      <w:r>
        <w:rPr>
          <w:rFonts w:ascii="Calibri" w:hAnsi="Calibri" w:eastAsia="Calibri"/>
          <w:b/>
          <w:color w:val="1F6FEB"/>
          <w:sz w:val="22"/>
        </w:rPr>
        <w:t>LABKITPRO</w:t>
      </w:r>
      <w:r>
        <w:rPr>
          <w:rFonts w:ascii="Calibri" w:hAnsi="Calibri" w:eastAsia="Calibri"/>
          <w:color w:val="5B6B7F"/>
          <w:sz w:val="18"/>
        </w:rPr>
        <w:t xml:space="preserve">   |   ISO/IEC 17025:2017 toolkit   |   Uncertainty Evaluation</w:t>
      </w:r>
    </w:p>
    <w:p>
      <w:pPr>
        <w:spacing w:before="200" w:after="40"/>
      </w:pPr>
      <w:r>
        <w:rPr>
          <w:rFonts w:ascii="Calibri" w:hAnsi="Calibri" w:eastAsia="Calibri"/>
          <w:b/>
          <w:color w:val="0F2A4A"/>
          <w:sz w:val="38"/>
        </w:rPr>
        <w:t>Measurement Uncertainty Budget</w:t>
      </w:r>
    </w:p>
    <w:p>
      <w:pPr>
        <w:spacing w:after="80"/>
      </w:pPr>
      <w:r>
        <w:rPr>
          <w:rFonts w:ascii="Calibri" w:hAnsi="Calibri" w:eastAsia="Calibri"/>
          <w:i/>
          <w:color w:val="5B6B7F"/>
          <w:sz w:val="20"/>
        </w:rPr>
        <w:t>GUM (JCGM 100:2008) · generic worked example · not your data</w:t>
      </w:r>
    </w:p>
    <w:p/>
    <w:p>
      <w:pPr w:spacing="160">
        <w:spacing w:before="40" w:after="240"/>
        <w:shd w:val="clear" w:color="auto" w:fill="FFF7ED"/>
        <w:pBdr>
          <w:left w:val="single" w:sz="30" w:space="6" w:color="F59E0B"/>
        </w:pBdr>
      </w:pPr>
      <w:r>
        <w:rPr>
          <w:rFonts w:ascii="Calibri" w:hAnsi="Calibri" w:eastAsia="Calibri"/>
          <w:b/>
          <w:color w:val="B45309"/>
          <w:sz w:val="21"/>
        </w:rPr>
        <w:t>DEMO SAMPLE — what this file is</w:t>
        <w:br/>
      </w:r>
      <w:r>
        <w:rPr>
          <w:rFonts w:ascii="Calibri" w:hAnsi="Calibri" w:eastAsia="Calibri"/>
          <w:color w:val="B45309"/>
          <w:sz w:val="19"/>
        </w:rPr>
        <w:t>A generic sample budget illustrating structure, calculation and reporting depth. The paid full version computes from YOUR components, applies your laboratory context, supports Monte-Carlo (JCGM 101) and exports an editable Word report.</w:t>
      </w:r>
    </w:p>
    <w:p>
      <w:pPr>
        <w:spacing w:before="280" w:after="100"/>
        <w:pBdr>
          <w:bottom w:val="single" w:sz="6" w:space="6" w:color="0F2A4A"/>
        </w:pBdr>
      </w:pPr>
      <w:r>
        <w:rPr>
          <w:rFonts w:ascii="Calibri" w:hAnsi="Calibri" w:eastAsia="Calibri"/>
          <w:b/>
          <w:color w:val="0F2A4A"/>
          <w:sz w:val="27"/>
        </w:rPr>
        <w:t>1  Measurement model and method</w:t>
      </w:r>
    </w:p>
    <w:p>
      <w:pPr>
        <w:spacing w:after="100" w:line="269" w:lineRule="auto"/>
      </w:pPr>
      <w:r>
        <w:rPr>
          <w:rFonts w:ascii="Calibri" w:hAnsi="Calibri" w:eastAsia="Calibri"/>
          <w:b w:val="0"/>
          <w:i w:val="0"/>
          <w:color w:val="14202E"/>
          <w:sz w:val="21"/>
        </w:rPr>
        <w:t>Y = Σ cᵢ · xᵢ   — the default linear model used for this example. The full version accepts a user-defined model and applies sensitivity coefficients accordingly. Evaluation follows GUM (JCGM 100:2008); the expanded uncertainty uses a coverage factor k derived from the effective degrees of freedom, or from Monte-Carlo simulation (JCGM 101:2008) on request.</w:t>
      </w:r>
    </w:p>
    <w:p>
      <w:pPr>
        <w:spacing w:before="280" w:after="100"/>
        <w:pBdr>
          <w:bottom w:val="single" w:sz="6" w:space="6" w:color="0F2A4A"/>
        </w:pBdr>
      </w:pPr>
      <w:r>
        <w:rPr>
          <w:rFonts w:ascii="Calibri" w:hAnsi="Calibri" w:eastAsia="Calibri"/>
          <w:b/>
          <w:color w:val="0F2A4A"/>
          <w:sz w:val="27"/>
        </w:rPr>
        <w:t>2  Uncertainty components (sample)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378"/>
        <w:gridCol w:w="1378"/>
        <w:gridCol w:w="1378"/>
        <w:gridCol w:w="1378"/>
        <w:gridCol w:w="1378"/>
        <w:gridCol w:w="1378"/>
        <w:gridCol w:w="1378"/>
      </w:tblGrid>
      <w:tr>
        <w:tc>
          <w:tcPr>
            <w:tcW w:type="dxa" w:w="2160"/>
            <w:shd w:val="clear" w:color="auto" w:fill="0F2A4A"/>
          </w:tcPr>
          <w:p>
            <w:pPr>
              <w:spacing w:after="0"/>
            </w:pPr>
            <w:r/>
            <w:r>
              <w:rPr>
                <w:rFonts w:ascii="Calibri" w:hAnsi="Calibri" w:eastAsia="Calibri"/>
                <w:b/>
                <w:color w:val="FFFFFF"/>
                <w:sz w:val="18"/>
              </w:rPr>
              <w:t>Component</w:t>
            </w:r>
          </w:p>
        </w:tc>
        <w:tc>
          <w:tcPr>
            <w:tcW w:type="dxa" w:w="720"/>
            <w:shd w:val="clear" w:color="auto" w:fill="0F2A4A"/>
          </w:tcPr>
          <w:p>
            <w:pPr>
              <w:spacing w:after="0"/>
            </w:pPr>
            <w:r/>
            <w:r>
              <w:rPr>
                <w:rFonts w:ascii="Calibri" w:hAnsi="Calibri" w:eastAsia="Calibri"/>
                <w:b/>
                <w:color w:val="FFFFFF"/>
                <w:sz w:val="18"/>
              </w:rPr>
              <w:t>Type</w:t>
            </w:r>
          </w:p>
        </w:tc>
        <w:tc>
          <w:tcPr>
            <w:tcW w:type="dxa" w:w="1368"/>
            <w:shd w:val="clear" w:color="auto" w:fill="0F2A4A"/>
          </w:tcPr>
          <w:p>
            <w:pPr>
              <w:spacing w:after="0"/>
            </w:pPr>
            <w:r/>
            <w:r>
              <w:rPr>
                <w:rFonts w:ascii="Calibri" w:hAnsi="Calibri" w:eastAsia="Calibri"/>
                <w:b/>
                <w:color w:val="FFFFFF"/>
                <w:sz w:val="18"/>
              </w:rPr>
              <w:t>Distribution</w:t>
            </w:r>
          </w:p>
        </w:tc>
        <w:tc>
          <w:tcPr>
            <w:tcW w:type="dxa" w:w="1008"/>
            <w:shd w:val="clear" w:color="auto" w:fill="0F2A4A"/>
          </w:tcPr>
          <w:p>
            <w:pPr>
              <w:spacing w:after="0"/>
            </w:pPr>
            <w:r/>
            <w:r>
              <w:rPr>
                <w:rFonts w:ascii="Calibri" w:hAnsi="Calibri" w:eastAsia="Calibri"/>
                <w:b/>
                <w:color w:val="FFFFFF"/>
                <w:sz w:val="18"/>
              </w:rPr>
              <w:t>uᵢ</w:t>
            </w:r>
          </w:p>
        </w:tc>
        <w:tc>
          <w:tcPr>
            <w:tcW w:type="dxa" w:w="720"/>
            <w:shd w:val="clear" w:color="auto" w:fill="0F2A4A"/>
          </w:tcPr>
          <w:p>
            <w:pPr>
              <w:spacing w:after="0"/>
            </w:pPr>
            <w:r/>
            <w:r>
              <w:rPr>
                <w:rFonts w:ascii="Calibri" w:hAnsi="Calibri" w:eastAsia="Calibri"/>
                <w:b/>
                <w:color w:val="FFFFFF"/>
                <w:sz w:val="18"/>
              </w:rPr>
              <w:t>cᵢ</w:t>
            </w:r>
          </w:p>
        </w:tc>
        <w:tc>
          <w:tcPr>
            <w:tcW w:type="dxa" w:w="1152"/>
            <w:shd w:val="clear" w:color="auto" w:fill="0F2A4A"/>
          </w:tcPr>
          <w:p>
            <w:pPr>
              <w:spacing w:after="0"/>
            </w:pPr>
            <w:r/>
            <w:r>
              <w:rPr>
                <w:rFonts w:ascii="Calibri" w:hAnsi="Calibri" w:eastAsia="Calibri"/>
                <w:b/>
                <w:color w:val="FFFFFF"/>
                <w:sz w:val="18"/>
              </w:rPr>
              <w:t>uᵢ·cᵢ</w:t>
            </w:r>
          </w:p>
        </w:tc>
        <w:tc>
          <w:tcPr>
            <w:tcW w:type="dxa" w:w="720"/>
            <w:shd w:val="clear" w:color="auto" w:fill="0F2A4A"/>
          </w:tcPr>
          <w:p>
            <w:pPr>
              <w:spacing w:after="0"/>
            </w:pPr>
            <w:r/>
            <w:r>
              <w:rPr>
                <w:rFonts w:ascii="Calibri" w:hAnsi="Calibri" w:eastAsia="Calibri"/>
                <w:b/>
                <w:color w:val="FFFFFF"/>
                <w:sz w:val="18"/>
              </w:rPr>
              <w:t>νᵢ</w:t>
            </w:r>
          </w:p>
        </w:tc>
      </w:tr>
      <w:tr>
        <w:tc>
          <w:tcPr>
            <w:tcW w:type="dxa" w:w="2160"/>
          </w:tcPr>
          <w:p>
            <w:pPr>
              <w:spacing w:after="0"/>
            </w:pPr>
            <w:r/>
            <w:r>
              <w:rPr>
                <w:rFonts w:ascii="Calibri" w:hAnsi="Calibri" w:eastAsia="Calibri"/>
                <w:color w:val="14202E"/>
                <w:sz w:val="18"/>
              </w:rPr>
              <w:t>Repeatability</w:t>
            </w:r>
          </w:p>
        </w:tc>
        <w:tc>
          <w:tcPr>
            <w:tcW w:type="dxa" w:w="720"/>
          </w:tcPr>
          <w:p>
            <w:pPr>
              <w:spacing w:after="0"/>
            </w:pPr>
            <w:r/>
            <w:r>
              <w:rPr>
                <w:rFonts w:ascii="Calibri" w:hAnsi="Calibri" w:eastAsia="Calibri"/>
                <w:color w:val="14202E"/>
                <w:sz w:val="18"/>
              </w:rPr>
              <w:t>A</w:t>
            </w:r>
          </w:p>
        </w:tc>
        <w:tc>
          <w:tcPr>
            <w:tcW w:type="dxa" w:w="1368"/>
          </w:tcPr>
          <w:p>
            <w:pPr>
              <w:spacing w:after="0"/>
            </w:pPr>
            <w:r/>
            <w:r>
              <w:rPr>
                <w:rFonts w:ascii="Calibri" w:hAnsi="Calibri" w:eastAsia="Calibri"/>
                <w:color w:val="14202E"/>
                <w:sz w:val="18"/>
              </w:rPr>
              <w:t>normal</w:t>
            </w:r>
          </w:p>
        </w:tc>
        <w:tc>
          <w:tcPr>
            <w:tcW w:type="dxa" w:w="1008"/>
          </w:tcPr>
          <w:p>
            <w:pPr>
              <w:spacing w:after="0"/>
            </w:pPr>
            <w:r/>
            <w:r>
              <w:rPr>
                <w:rFonts w:ascii="Calibri" w:hAnsi="Calibri" w:eastAsia="Calibri"/>
                <w:color w:val="14202E"/>
                <w:sz w:val="18"/>
              </w:rPr>
              <w:t>0.0200</w:t>
            </w:r>
          </w:p>
        </w:tc>
        <w:tc>
          <w:tcPr>
            <w:tcW w:type="dxa" w:w="720"/>
          </w:tcPr>
          <w:p>
            <w:pPr>
              <w:spacing w:after="0"/>
            </w:pPr>
            <w:r/>
            <w:r>
              <w:rPr>
                <w:rFonts w:ascii="Calibri" w:hAnsi="Calibri" w:eastAsia="Calibri"/>
                <w:color w:val="14202E"/>
                <w:sz w:val="18"/>
              </w:rPr>
              <w:t>1</w:t>
            </w:r>
          </w:p>
        </w:tc>
        <w:tc>
          <w:tcPr>
            <w:tcW w:type="dxa" w:w="1152"/>
          </w:tcPr>
          <w:p>
            <w:pPr>
              <w:spacing w:after="0"/>
            </w:pPr>
            <w:r/>
            <w:r>
              <w:rPr>
                <w:rFonts w:ascii="Calibri" w:hAnsi="Calibri" w:eastAsia="Calibri"/>
                <w:color w:val="14202E"/>
                <w:sz w:val="18"/>
              </w:rPr>
              <w:t>0.02000</w:t>
            </w:r>
          </w:p>
        </w:tc>
        <w:tc>
          <w:tcPr>
            <w:tcW w:type="dxa" w:w="720"/>
          </w:tcPr>
          <w:p>
            <w:pPr>
              <w:spacing w:after="0"/>
            </w:pPr>
            <w:r/>
            <w:r>
              <w:rPr>
                <w:rFonts w:ascii="Calibri" w:hAnsi="Calibri" w:eastAsia="Calibri"/>
                <w:color w:val="14202E"/>
                <w:sz w:val="18"/>
              </w:rPr>
              <w:t>9</w:t>
            </w:r>
          </w:p>
        </w:tc>
      </w:tr>
      <w:tr>
        <w:tc>
          <w:tcPr>
            <w:tcW w:type="dxa" w:w="2160"/>
            <w:shd w:val="clear" w:color="auto" w:fill="F3F7FC"/>
          </w:tcPr>
          <w:p>
            <w:pPr>
              <w:spacing w:after="0"/>
            </w:pPr>
            <w:r/>
            <w:r>
              <w:rPr>
                <w:rFonts w:ascii="Calibri" w:hAnsi="Calibri" w:eastAsia="Calibri"/>
                <w:color w:val="14202E"/>
                <w:sz w:val="18"/>
              </w:rPr>
              <w:t>Reference standard</w:t>
            </w:r>
          </w:p>
        </w:tc>
        <w:tc>
          <w:tcPr>
            <w:tcW w:type="dxa" w:w="720"/>
            <w:shd w:val="clear" w:color="auto" w:fill="F3F7FC"/>
          </w:tcPr>
          <w:p>
            <w:pPr>
              <w:spacing w:after="0"/>
            </w:pPr>
            <w:r/>
            <w:r>
              <w:rPr>
                <w:rFonts w:ascii="Calibri" w:hAnsi="Calibri" w:eastAsia="Calibri"/>
                <w:color w:val="14202E"/>
                <w:sz w:val="18"/>
              </w:rPr>
              <w:t>B</w:t>
            </w:r>
          </w:p>
        </w:tc>
        <w:tc>
          <w:tcPr>
            <w:tcW w:type="dxa" w:w="1368"/>
            <w:shd w:val="clear" w:color="auto" w:fill="F3F7FC"/>
          </w:tcPr>
          <w:p>
            <w:pPr>
              <w:spacing w:after="0"/>
            </w:pPr>
            <w:r/>
            <w:r>
              <w:rPr>
                <w:rFonts w:ascii="Calibri" w:hAnsi="Calibri" w:eastAsia="Calibri"/>
                <w:color w:val="14202E"/>
                <w:sz w:val="18"/>
              </w:rPr>
              <w:t>normal</w:t>
            </w:r>
          </w:p>
        </w:tc>
        <w:tc>
          <w:tcPr>
            <w:tcW w:type="dxa" w:w="1008"/>
            <w:shd w:val="clear" w:color="auto" w:fill="F3F7FC"/>
          </w:tcPr>
          <w:p>
            <w:pPr>
              <w:spacing w:after="0"/>
            </w:pPr>
            <w:r/>
            <w:r>
              <w:rPr>
                <w:rFonts w:ascii="Calibri" w:hAnsi="Calibri" w:eastAsia="Calibri"/>
                <w:color w:val="14202E"/>
                <w:sz w:val="18"/>
              </w:rPr>
              <w:t>0.0150</w:t>
            </w:r>
          </w:p>
        </w:tc>
        <w:tc>
          <w:tcPr>
            <w:tcW w:type="dxa" w:w="720"/>
            <w:shd w:val="clear" w:color="auto" w:fill="F3F7FC"/>
          </w:tcPr>
          <w:p>
            <w:pPr>
              <w:spacing w:after="0"/>
            </w:pPr>
            <w:r/>
            <w:r>
              <w:rPr>
                <w:rFonts w:ascii="Calibri" w:hAnsi="Calibri" w:eastAsia="Calibri"/>
                <w:color w:val="14202E"/>
                <w:sz w:val="18"/>
              </w:rPr>
              <w:t>1</w:t>
            </w:r>
          </w:p>
        </w:tc>
        <w:tc>
          <w:tcPr>
            <w:tcW w:type="dxa" w:w="1152"/>
            <w:shd w:val="clear" w:color="auto" w:fill="F3F7FC"/>
          </w:tcPr>
          <w:p>
            <w:pPr>
              <w:spacing w:after="0"/>
            </w:pPr>
            <w:r/>
            <w:r>
              <w:rPr>
                <w:rFonts w:ascii="Calibri" w:hAnsi="Calibri" w:eastAsia="Calibri"/>
                <w:color w:val="14202E"/>
                <w:sz w:val="18"/>
              </w:rPr>
              <w:t>0.01500</w:t>
            </w:r>
          </w:p>
        </w:tc>
        <w:tc>
          <w:tcPr>
            <w:tcW w:type="dxa" w:w="720"/>
            <w:shd w:val="clear" w:color="auto" w:fill="F3F7FC"/>
          </w:tcPr>
          <w:p>
            <w:pPr>
              <w:spacing w:after="0"/>
            </w:pPr>
            <w:r/>
            <w:r>
              <w:rPr>
                <w:rFonts w:ascii="Calibri" w:hAnsi="Calibri" w:eastAsia="Calibri"/>
                <w:color w:val="14202E"/>
                <w:sz w:val="18"/>
              </w:rPr>
              <w:t>100</w:t>
            </w:r>
          </w:p>
        </w:tc>
      </w:tr>
      <w:tr>
        <w:tc>
          <w:tcPr>
            <w:tcW w:type="dxa" w:w="2160"/>
          </w:tcPr>
          <w:p>
            <w:pPr>
              <w:spacing w:after="0"/>
            </w:pPr>
            <w:r/>
            <w:r>
              <w:rPr>
                <w:rFonts w:ascii="Calibri" w:hAnsi="Calibri" w:eastAsia="Calibri"/>
                <w:color w:val="14202E"/>
                <w:sz w:val="18"/>
              </w:rPr>
              <w:t>Calibration of instrument</w:t>
            </w:r>
          </w:p>
        </w:tc>
        <w:tc>
          <w:tcPr>
            <w:tcW w:type="dxa" w:w="720"/>
          </w:tcPr>
          <w:p>
            <w:pPr>
              <w:spacing w:after="0"/>
            </w:pPr>
            <w:r/>
            <w:r>
              <w:rPr>
                <w:rFonts w:ascii="Calibri" w:hAnsi="Calibri" w:eastAsia="Calibri"/>
                <w:color w:val="14202E"/>
                <w:sz w:val="18"/>
              </w:rPr>
              <w:t>B</w:t>
            </w:r>
          </w:p>
        </w:tc>
        <w:tc>
          <w:tcPr>
            <w:tcW w:type="dxa" w:w="1368"/>
          </w:tcPr>
          <w:p>
            <w:pPr>
              <w:spacing w:after="0"/>
            </w:pPr>
            <w:r/>
            <w:r>
              <w:rPr>
                <w:rFonts w:ascii="Calibri" w:hAnsi="Calibri" w:eastAsia="Calibri"/>
                <w:color w:val="14202E"/>
                <w:sz w:val="18"/>
              </w:rPr>
              <w:t>uniform</w:t>
            </w:r>
          </w:p>
        </w:tc>
        <w:tc>
          <w:tcPr>
            <w:tcW w:type="dxa" w:w="1008"/>
          </w:tcPr>
          <w:p>
            <w:pPr>
              <w:spacing w:after="0"/>
            </w:pPr>
            <w:r/>
            <w:r>
              <w:rPr>
                <w:rFonts w:ascii="Calibri" w:hAnsi="Calibri" w:eastAsia="Calibri"/>
                <w:color w:val="14202E"/>
                <w:sz w:val="18"/>
              </w:rPr>
              <w:t>0.0058</w:t>
            </w:r>
          </w:p>
        </w:tc>
        <w:tc>
          <w:tcPr>
            <w:tcW w:type="dxa" w:w="720"/>
          </w:tcPr>
          <w:p>
            <w:pPr>
              <w:spacing w:after="0"/>
            </w:pPr>
            <w:r/>
            <w:r>
              <w:rPr>
                <w:rFonts w:ascii="Calibri" w:hAnsi="Calibri" w:eastAsia="Calibri"/>
                <w:color w:val="14202E"/>
                <w:sz w:val="18"/>
              </w:rPr>
              <w:t>1</w:t>
            </w:r>
          </w:p>
        </w:tc>
        <w:tc>
          <w:tcPr>
            <w:tcW w:type="dxa" w:w="1152"/>
          </w:tcPr>
          <w:p>
            <w:pPr>
              <w:spacing w:after="0"/>
            </w:pPr>
            <w:r/>
            <w:r>
              <w:rPr>
                <w:rFonts w:ascii="Calibri" w:hAnsi="Calibri" w:eastAsia="Calibri"/>
                <w:color w:val="14202E"/>
                <w:sz w:val="18"/>
              </w:rPr>
              <w:t>0.00580</w:t>
            </w:r>
          </w:p>
        </w:tc>
        <w:tc>
          <w:tcPr>
            <w:tcW w:type="dxa" w:w="720"/>
          </w:tcPr>
          <w:p>
            <w:pPr>
              <w:spacing w:after="0"/>
            </w:pPr>
            <w:r/>
            <w:r>
              <w:rPr>
                <w:rFonts w:ascii="Calibri" w:hAnsi="Calibri" w:eastAsia="Calibri"/>
                <w:color w:val="14202E"/>
                <w:sz w:val="18"/>
              </w:rPr>
              <w:t>50</w:t>
            </w:r>
          </w:p>
        </w:tc>
      </w:tr>
      <w:tr>
        <w:tc>
          <w:tcPr>
            <w:tcW w:type="dxa" w:w="2160"/>
            <w:shd w:val="clear" w:color="auto" w:fill="F3F7FC"/>
          </w:tcPr>
          <w:p>
            <w:pPr>
              <w:spacing w:after="0"/>
            </w:pPr>
            <w:r/>
            <w:r>
              <w:rPr>
                <w:rFonts w:ascii="Calibri" w:hAnsi="Calibri" w:eastAsia="Calibri"/>
                <w:color w:val="14202E"/>
                <w:sz w:val="18"/>
              </w:rPr>
              <w:t>Resolution</w:t>
            </w:r>
          </w:p>
        </w:tc>
        <w:tc>
          <w:tcPr>
            <w:tcW w:type="dxa" w:w="720"/>
            <w:shd w:val="clear" w:color="auto" w:fill="F3F7FC"/>
          </w:tcPr>
          <w:p>
            <w:pPr>
              <w:spacing w:after="0"/>
            </w:pPr>
            <w:r/>
            <w:r>
              <w:rPr>
                <w:rFonts w:ascii="Calibri" w:hAnsi="Calibri" w:eastAsia="Calibri"/>
                <w:color w:val="14202E"/>
                <w:sz w:val="18"/>
              </w:rPr>
              <w:t>B</w:t>
            </w:r>
          </w:p>
        </w:tc>
        <w:tc>
          <w:tcPr>
            <w:tcW w:type="dxa" w:w="1368"/>
            <w:shd w:val="clear" w:color="auto" w:fill="F3F7FC"/>
          </w:tcPr>
          <w:p>
            <w:pPr>
              <w:spacing w:after="0"/>
            </w:pPr>
            <w:r/>
            <w:r>
              <w:rPr>
                <w:rFonts w:ascii="Calibri" w:hAnsi="Calibri" w:eastAsia="Calibri"/>
                <w:color w:val="14202E"/>
                <w:sz w:val="18"/>
              </w:rPr>
              <w:t>uniform</w:t>
            </w:r>
          </w:p>
        </w:tc>
        <w:tc>
          <w:tcPr>
            <w:tcW w:type="dxa" w:w="1008"/>
            <w:shd w:val="clear" w:color="auto" w:fill="F3F7FC"/>
          </w:tcPr>
          <w:p>
            <w:pPr>
              <w:spacing w:after="0"/>
            </w:pPr>
            <w:r/>
            <w:r>
              <w:rPr>
                <w:rFonts w:ascii="Calibri" w:hAnsi="Calibri" w:eastAsia="Calibri"/>
                <w:color w:val="14202E"/>
                <w:sz w:val="18"/>
              </w:rPr>
              <w:t>0.0029</w:t>
            </w:r>
          </w:p>
        </w:tc>
        <w:tc>
          <w:tcPr>
            <w:tcW w:type="dxa" w:w="720"/>
            <w:shd w:val="clear" w:color="auto" w:fill="F3F7FC"/>
          </w:tcPr>
          <w:p>
            <w:pPr>
              <w:spacing w:after="0"/>
            </w:pPr>
            <w:r/>
            <w:r>
              <w:rPr>
                <w:rFonts w:ascii="Calibri" w:hAnsi="Calibri" w:eastAsia="Calibri"/>
                <w:color w:val="14202E"/>
                <w:sz w:val="18"/>
              </w:rPr>
              <w:t>1</w:t>
            </w:r>
          </w:p>
        </w:tc>
        <w:tc>
          <w:tcPr>
            <w:tcW w:type="dxa" w:w="1152"/>
            <w:shd w:val="clear" w:color="auto" w:fill="F3F7FC"/>
          </w:tcPr>
          <w:p>
            <w:pPr>
              <w:spacing w:after="0"/>
            </w:pPr>
            <w:r/>
            <w:r>
              <w:rPr>
                <w:rFonts w:ascii="Calibri" w:hAnsi="Calibri" w:eastAsia="Calibri"/>
                <w:color w:val="14202E"/>
                <w:sz w:val="18"/>
              </w:rPr>
              <w:t>0.00290</w:t>
            </w:r>
          </w:p>
        </w:tc>
        <w:tc>
          <w:tcPr>
            <w:tcW w:type="dxa" w:w="720"/>
            <w:shd w:val="clear" w:color="auto" w:fill="F3F7FC"/>
          </w:tcPr>
          <w:p>
            <w:pPr>
              <w:spacing w:after="0"/>
            </w:pPr>
            <w:r/>
            <w:r>
              <w:rPr>
                <w:rFonts w:ascii="Calibri" w:hAnsi="Calibri" w:eastAsia="Calibri"/>
                <w:color w:val="14202E"/>
                <w:sz w:val="18"/>
              </w:rPr>
              <w:t>50</w:t>
            </w:r>
          </w:p>
        </w:tc>
      </w:tr>
    </w:tbl>
    <w:p>
      <w:pPr>
        <w:spacing w:before="280" w:after="100"/>
        <w:pBdr>
          <w:bottom w:val="single" w:sz="6" w:space="6" w:color="0F2A4A"/>
        </w:pBdr>
      </w:pPr>
      <w:r>
        <w:rPr>
          <w:rFonts w:ascii="Calibri" w:hAnsi="Calibri" w:eastAsia="Calibri"/>
          <w:b/>
          <w:color w:val="0F2A4A"/>
          <w:sz w:val="27"/>
        </w:rPr>
        <w:t>3  Combined and expanded result (sample)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6"/>
        <w:gridCol w:w="3216"/>
        <w:gridCol w:w="3216"/>
      </w:tblGrid>
      <w:tr>
        <w:tc>
          <w:tcPr>
            <w:tcW w:type="dxa" w:w="2592"/>
            <w:shd w:val="clear" w:color="auto" w:fill="0F2A4A"/>
          </w:tcPr>
          <w:p>
            <w:pPr>
              <w:spacing w:after="0"/>
            </w:pPr>
            <w:r/>
            <w:r>
              <w:rPr>
                <w:rFonts w:ascii="Calibri" w:hAnsi="Calibri" w:eastAsia="Calibri"/>
                <w:b/>
                <w:color w:val="FFFFFF"/>
                <w:sz w:val="18"/>
              </w:rPr>
              <w:t>Quantity</w:t>
            </w:r>
          </w:p>
        </w:tc>
        <w:tc>
          <w:tcPr>
            <w:tcW w:type="dxa" w:w="1728"/>
            <w:shd w:val="clear" w:color="auto" w:fill="0F2A4A"/>
          </w:tcPr>
          <w:p>
            <w:pPr>
              <w:spacing w:after="0"/>
            </w:pPr>
            <w:r/>
            <w:r>
              <w:rPr>
                <w:rFonts w:ascii="Calibri" w:hAnsi="Calibri" w:eastAsia="Calibri"/>
                <w:b/>
                <w:color w:val="FFFFFF"/>
                <w:sz w:val="18"/>
              </w:rPr>
              <w:t>Value</w:t>
            </w:r>
          </w:p>
        </w:tc>
        <w:tc>
          <w:tcPr>
            <w:tcW w:type="dxa" w:w="3456"/>
            <w:shd w:val="clear" w:color="auto" w:fill="0F2A4A"/>
          </w:tcPr>
          <w:p>
            <w:pPr>
              <w:spacing w:after="0"/>
            </w:pPr>
            <w:r/>
            <w:r>
              <w:rPr>
                <w:rFonts w:ascii="Calibri" w:hAnsi="Calibri" w:eastAsia="Calibri"/>
                <w:b/>
                <w:color w:val="FFFFFF"/>
                <w:sz w:val="18"/>
              </w:rPr>
              <w:t>Basis</w:t>
            </w:r>
          </w:p>
        </w:tc>
      </w:tr>
      <w:tr>
        <w:tc>
          <w:tcPr>
            <w:tcW w:type="dxa" w:w="2592"/>
          </w:tcPr>
          <w:p>
            <w:pPr>
              <w:spacing w:after="0"/>
            </w:pPr>
            <w:r/>
            <w:r>
              <w:rPr>
                <w:rFonts w:ascii="Calibri" w:hAnsi="Calibri" w:eastAsia="Calibri"/>
                <w:color w:val="14202E"/>
                <w:sz w:val="18"/>
              </w:rPr>
              <w:t>u_c (combined standard)</w:t>
            </w:r>
          </w:p>
        </w:tc>
        <w:tc>
          <w:tcPr>
            <w:tcW w:type="dxa" w:w="1728"/>
          </w:tcPr>
          <w:p>
            <w:pPr>
              <w:spacing w:after="0"/>
            </w:pPr>
            <w:r/>
            <w:r>
              <w:rPr>
                <w:rFonts w:ascii="Calibri" w:hAnsi="Calibri" w:eastAsia="Calibri"/>
                <w:color w:val="14202E"/>
                <w:sz w:val="18"/>
              </w:rPr>
              <w:t>0.0250</w:t>
            </w:r>
          </w:p>
        </w:tc>
        <w:tc>
          <w:tcPr>
            <w:tcW w:type="dxa" w:w="3456"/>
          </w:tcPr>
          <w:p>
            <w:pPr>
              <w:spacing w:after="0"/>
            </w:pPr>
            <w:r/>
            <w:r>
              <w:rPr>
                <w:rFonts w:ascii="Calibri" w:hAnsi="Calibri" w:eastAsia="Calibri"/>
                <w:color w:val="14202E"/>
                <w:sz w:val="18"/>
              </w:rPr>
              <w:t>Root-sum-square of uᵢ·cᵢ</w:t>
            </w:r>
          </w:p>
        </w:tc>
      </w:tr>
      <w:tr>
        <w:tc>
          <w:tcPr>
            <w:tcW w:type="dxa" w:w="2592"/>
            <w:shd w:val="clear" w:color="auto" w:fill="F3F7FC"/>
          </w:tcPr>
          <w:p>
            <w:pPr>
              <w:spacing w:after="0"/>
            </w:pPr>
            <w:r/>
            <w:r>
              <w:rPr>
                <w:rFonts w:ascii="Calibri" w:hAnsi="Calibri" w:eastAsia="Calibri"/>
                <w:color w:val="14202E"/>
                <w:sz w:val="18"/>
              </w:rPr>
              <w:t>ν_eff (effective dof)</w:t>
            </w:r>
          </w:p>
        </w:tc>
        <w:tc>
          <w:tcPr>
            <w:tcW w:type="dxa" w:w="1728"/>
            <w:shd w:val="clear" w:color="auto" w:fill="F3F7FC"/>
          </w:tcPr>
          <w:p>
            <w:pPr>
              <w:spacing w:after="0"/>
            </w:pPr>
            <w:r/>
            <w:r>
              <w:rPr>
                <w:rFonts w:ascii="Calibri" w:hAnsi="Calibri" w:eastAsia="Calibri"/>
                <w:color w:val="14202E"/>
                <w:sz w:val="18"/>
              </w:rPr>
              <w:t>≈ 38</w:t>
            </w:r>
          </w:p>
        </w:tc>
        <w:tc>
          <w:tcPr>
            <w:tcW w:type="dxa" w:w="3456"/>
            <w:shd w:val="clear" w:color="auto" w:fill="F3F7FC"/>
          </w:tcPr>
          <w:p>
            <w:pPr>
              <w:spacing w:after="0"/>
            </w:pPr>
            <w:r/>
            <w:r>
              <w:rPr>
                <w:rFonts w:ascii="Calibri" w:hAnsi="Calibri" w:eastAsia="Calibri"/>
                <w:color w:val="14202E"/>
                <w:sz w:val="18"/>
              </w:rPr>
              <w:t>Welch–Satterthwaite</w:t>
            </w:r>
          </w:p>
        </w:tc>
      </w:tr>
      <w:tr>
        <w:tc>
          <w:tcPr>
            <w:tcW w:type="dxa" w:w="2592"/>
          </w:tcPr>
          <w:p>
            <w:pPr>
              <w:spacing w:after="0"/>
            </w:pPr>
            <w:r/>
            <w:r>
              <w:rPr>
                <w:rFonts w:ascii="Calibri" w:hAnsi="Calibri" w:eastAsia="Calibri"/>
                <w:color w:val="14202E"/>
                <w:sz w:val="18"/>
              </w:rPr>
              <w:t>k (95% coverage)</w:t>
            </w:r>
          </w:p>
        </w:tc>
        <w:tc>
          <w:tcPr>
            <w:tcW w:type="dxa" w:w="1728"/>
          </w:tcPr>
          <w:p>
            <w:pPr>
              <w:spacing w:after="0"/>
            </w:pPr>
            <w:r/>
            <w:r>
              <w:rPr>
                <w:rFonts w:ascii="Calibri" w:hAnsi="Calibri" w:eastAsia="Calibri"/>
                <w:color w:val="14202E"/>
                <w:sz w:val="18"/>
              </w:rPr>
              <w:t>2.03</w:t>
            </w:r>
          </w:p>
        </w:tc>
        <w:tc>
          <w:tcPr>
            <w:tcW w:type="dxa" w:w="3456"/>
          </w:tcPr>
          <w:p>
            <w:pPr>
              <w:spacing w:after="0"/>
            </w:pPr>
            <w:r/>
            <w:r>
              <w:rPr>
                <w:rFonts w:ascii="Calibri" w:hAnsi="Calibri" w:eastAsia="Calibri"/>
                <w:color w:val="14202E"/>
                <w:sz w:val="18"/>
              </w:rPr>
              <w:t>Student-t at ν_eff</w:t>
            </w:r>
          </w:p>
        </w:tc>
      </w:tr>
      <w:tr>
        <w:tc>
          <w:tcPr>
            <w:tcW w:type="dxa" w:w="2592"/>
            <w:shd w:val="clear" w:color="auto" w:fill="F3F7FC"/>
          </w:tcPr>
          <w:p>
            <w:pPr>
              <w:spacing w:after="0"/>
            </w:pPr>
            <w:r/>
            <w:r>
              <w:rPr>
                <w:rFonts w:ascii="Calibri" w:hAnsi="Calibri" w:eastAsia="Calibri"/>
                <w:color w:val="14202E"/>
                <w:sz w:val="18"/>
              </w:rPr>
              <w:t>U = k · u_c</w:t>
            </w:r>
          </w:p>
        </w:tc>
        <w:tc>
          <w:tcPr>
            <w:tcW w:type="dxa" w:w="1728"/>
            <w:shd w:val="clear" w:color="auto" w:fill="F3F7FC"/>
          </w:tcPr>
          <w:p>
            <w:pPr>
              <w:spacing w:after="0"/>
            </w:pPr>
            <w:r/>
            <w:r>
              <w:rPr>
                <w:rFonts w:ascii="Calibri" w:hAnsi="Calibri" w:eastAsia="Calibri"/>
                <w:color w:val="14202E"/>
                <w:sz w:val="18"/>
              </w:rPr>
              <w:t>0.0508</w:t>
            </w:r>
          </w:p>
        </w:tc>
        <w:tc>
          <w:tcPr>
            <w:tcW w:type="dxa" w:w="3456"/>
            <w:shd w:val="clear" w:color="auto" w:fill="F3F7FC"/>
          </w:tcPr>
          <w:p>
            <w:pPr>
              <w:spacing w:after="0"/>
            </w:pPr>
            <w:r/>
            <w:r>
              <w:rPr>
                <w:rFonts w:ascii="Calibri" w:hAnsi="Calibri" w:eastAsia="Calibri"/>
                <w:color w:val="14202E"/>
                <w:sz w:val="18"/>
              </w:rPr>
              <w:t>≈ ±5.1 % of reading</w:t>
            </w:r>
          </w:p>
        </w:tc>
      </w:tr>
    </w:tbl>
    <w:p>
      <w:pPr>
        <w:spacing w:before="280" w:after="100"/>
        <w:pBdr>
          <w:bottom w:val="single" w:sz="6" w:space="6" w:color="0F2A4A"/>
        </w:pBdr>
      </w:pPr>
      <w:r>
        <w:rPr>
          <w:rFonts w:ascii="Calibri" w:hAnsi="Calibri" w:eastAsia="Calibri"/>
          <w:b/>
          <w:color w:val="0F2A4A"/>
          <w:sz w:val="27"/>
        </w:rPr>
        <w:t>4  Contribution analysis (sample)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6"/>
        <w:gridCol w:w="3216"/>
        <w:gridCol w:w="3216"/>
      </w:tblGrid>
      <w:tr>
        <w:tc>
          <w:tcPr>
            <w:tcW w:type="dxa" w:w="2592"/>
            <w:shd w:val="clear" w:color="auto" w:fill="0F2A4A"/>
          </w:tcPr>
          <w:p>
            <w:pPr>
              <w:spacing w:after="0"/>
            </w:pPr>
            <w:r/>
            <w:r>
              <w:rPr>
                <w:rFonts w:ascii="Calibri" w:hAnsi="Calibri" w:eastAsia="Calibri"/>
                <w:b/>
                <w:color w:val="FFFFFF"/>
                <w:sz w:val="18"/>
              </w:rPr>
              <w:t>Component</w:t>
            </w:r>
          </w:p>
        </w:tc>
        <w:tc>
          <w:tcPr>
            <w:tcW w:type="dxa" w:w="1728"/>
            <w:shd w:val="clear" w:color="auto" w:fill="0F2A4A"/>
          </w:tcPr>
          <w:p>
            <w:pPr>
              <w:spacing w:after="0"/>
            </w:pPr>
            <w:r/>
            <w:r>
              <w:rPr>
                <w:rFonts w:ascii="Calibri" w:hAnsi="Calibri" w:eastAsia="Calibri"/>
                <w:b/>
                <w:color w:val="FFFFFF"/>
                <w:sz w:val="18"/>
              </w:rPr>
              <w:t>Share of u_c²</w:t>
            </w:r>
          </w:p>
        </w:tc>
        <w:tc>
          <w:tcPr>
            <w:tcW w:type="dxa" w:w="3456"/>
            <w:shd w:val="clear" w:color="auto" w:fill="0F2A4A"/>
          </w:tcPr>
          <w:p>
            <w:pPr>
              <w:spacing w:after="0"/>
            </w:pPr>
            <w:r/>
            <w:r>
              <w:rPr>
                <w:rFonts w:ascii="Calibri" w:hAnsi="Calibri" w:eastAsia="Calibri"/>
                <w:b/>
                <w:color w:val="FFFFFF"/>
                <w:sz w:val="18"/>
              </w:rPr>
              <w:t>Reading</w:t>
            </w:r>
          </w:p>
        </w:tc>
      </w:tr>
      <w:tr>
        <w:tc>
          <w:tcPr>
            <w:tcW w:type="dxa" w:w="2592"/>
          </w:tcPr>
          <w:p>
            <w:pPr>
              <w:spacing w:after="0"/>
            </w:pPr>
            <w:r/>
            <w:r>
              <w:rPr>
                <w:rFonts w:ascii="Calibri" w:hAnsi="Calibri" w:eastAsia="Calibri"/>
                <w:color w:val="14202E"/>
                <w:sz w:val="18"/>
              </w:rPr>
              <w:t>Repeatability</w:t>
            </w:r>
          </w:p>
        </w:tc>
        <w:tc>
          <w:tcPr>
            <w:tcW w:type="dxa" w:w="1728"/>
          </w:tcPr>
          <w:p>
            <w:pPr>
              <w:spacing w:after="0"/>
            </w:pPr>
            <w:r/>
            <w:r>
              <w:rPr>
                <w:rFonts w:ascii="Calibri" w:hAnsi="Calibri" w:eastAsia="Calibri"/>
                <w:color w:val="14202E"/>
                <w:sz w:val="18"/>
              </w:rPr>
              <w:t>64%</w:t>
            </w:r>
          </w:p>
        </w:tc>
        <w:tc>
          <w:tcPr>
            <w:tcW w:type="dxa" w:w="3456"/>
          </w:tcPr>
          <w:p>
            <w:pPr>
              <w:spacing w:after="0"/>
            </w:pPr>
            <w:r/>
            <w:r>
              <w:rPr>
                <w:rFonts w:ascii="Calibri" w:hAnsi="Calibri" w:eastAsia="Calibri"/>
                <w:color w:val="14202E"/>
                <w:sz w:val="18"/>
              </w:rPr>
              <w:t>Dominant — increase replicates to reduce</w:t>
            </w:r>
          </w:p>
        </w:tc>
      </w:tr>
      <w:tr>
        <w:tc>
          <w:tcPr>
            <w:tcW w:type="dxa" w:w="2592"/>
            <w:shd w:val="clear" w:color="auto" w:fill="F3F7FC"/>
          </w:tcPr>
          <w:p>
            <w:pPr>
              <w:spacing w:after="0"/>
            </w:pPr>
            <w:r/>
            <w:r>
              <w:rPr>
                <w:rFonts w:ascii="Calibri" w:hAnsi="Calibri" w:eastAsia="Calibri"/>
                <w:color w:val="14202E"/>
                <w:sz w:val="18"/>
              </w:rPr>
              <w:t>Reference standard</w:t>
            </w:r>
          </w:p>
        </w:tc>
        <w:tc>
          <w:tcPr>
            <w:tcW w:type="dxa" w:w="1728"/>
            <w:shd w:val="clear" w:color="auto" w:fill="F3F7FC"/>
          </w:tcPr>
          <w:p>
            <w:pPr>
              <w:spacing w:after="0"/>
            </w:pPr>
            <w:r/>
            <w:r>
              <w:rPr>
                <w:rFonts w:ascii="Calibri" w:hAnsi="Calibri" w:eastAsia="Calibri"/>
                <w:color w:val="14202E"/>
                <w:sz w:val="18"/>
              </w:rPr>
              <w:t>36%</w:t>
            </w:r>
          </w:p>
        </w:tc>
        <w:tc>
          <w:tcPr>
            <w:tcW w:type="dxa" w:w="3456"/>
            <w:shd w:val="clear" w:color="auto" w:fill="F3F7FC"/>
          </w:tcPr>
          <w:p>
            <w:pPr>
              <w:spacing w:after="0"/>
            </w:pPr>
            <w:r/>
            <w:r>
              <w:rPr>
                <w:rFonts w:ascii="Calibri" w:hAnsi="Calibri" w:eastAsia="Calibri"/>
                <w:color w:val="14202E"/>
                <w:sz w:val="18"/>
              </w:rPr>
              <w:t>Check the calibration certificate and its uncertainty</w:t>
            </w:r>
          </w:p>
        </w:tc>
      </w:tr>
      <w:tr>
        <w:tc>
          <w:tcPr>
            <w:tcW w:type="dxa" w:w="2592"/>
          </w:tcPr>
          <w:p>
            <w:pPr>
              <w:spacing w:after="0"/>
            </w:pPr>
            <w:r/>
            <w:r>
              <w:rPr>
                <w:rFonts w:ascii="Calibri" w:hAnsi="Calibri" w:eastAsia="Calibri"/>
                <w:color w:val="14202E"/>
                <w:sz w:val="18"/>
              </w:rPr>
              <w:t>Calibration of instrument</w:t>
            </w:r>
          </w:p>
        </w:tc>
        <w:tc>
          <w:tcPr>
            <w:tcW w:type="dxa" w:w="1728"/>
          </w:tcPr>
          <w:p>
            <w:pPr>
              <w:spacing w:after="0"/>
            </w:pPr>
            <w:r/>
            <w:r>
              <w:rPr>
                <w:rFonts w:ascii="Calibri" w:hAnsi="Calibri" w:eastAsia="Calibri"/>
                <w:color w:val="14202E"/>
                <w:sz w:val="18"/>
              </w:rPr>
              <w:t>&lt;1%</w:t>
            </w:r>
          </w:p>
        </w:tc>
        <w:tc>
          <w:tcPr>
            <w:tcW w:type="dxa" w:w="3456"/>
          </w:tcPr>
          <w:p>
            <w:pPr>
              <w:spacing w:after="0"/>
            </w:pPr>
            <w:r/>
            <w:r>
              <w:rPr>
                <w:rFonts w:ascii="Calibri" w:hAnsi="Calibri" w:eastAsia="Calibri"/>
                <w:color w:val="14202E"/>
                <w:sz w:val="18"/>
              </w:rPr>
              <w:t>Minor at this magnitude</w:t>
            </w:r>
          </w:p>
        </w:tc>
      </w:tr>
      <w:tr>
        <w:tc>
          <w:tcPr>
            <w:tcW w:type="dxa" w:w="2592"/>
            <w:shd w:val="clear" w:color="auto" w:fill="F3F7FC"/>
          </w:tcPr>
          <w:p>
            <w:pPr>
              <w:spacing w:after="0"/>
            </w:pPr>
            <w:r/>
            <w:r>
              <w:rPr>
                <w:rFonts w:ascii="Calibri" w:hAnsi="Calibri" w:eastAsia="Calibri"/>
                <w:color w:val="14202E"/>
                <w:sz w:val="18"/>
              </w:rPr>
              <w:t>Resolution</w:t>
            </w:r>
          </w:p>
        </w:tc>
        <w:tc>
          <w:tcPr>
            <w:tcW w:type="dxa" w:w="1728"/>
            <w:shd w:val="clear" w:color="auto" w:fill="F3F7FC"/>
          </w:tcPr>
          <w:p>
            <w:pPr>
              <w:spacing w:after="0"/>
            </w:pPr>
            <w:r/>
            <w:r>
              <w:rPr>
                <w:rFonts w:ascii="Calibri" w:hAnsi="Calibri" w:eastAsia="Calibri"/>
                <w:color w:val="14202E"/>
                <w:sz w:val="18"/>
              </w:rPr>
              <w:t>&lt;1%</w:t>
            </w:r>
          </w:p>
        </w:tc>
        <w:tc>
          <w:tcPr>
            <w:tcW w:type="dxa" w:w="3456"/>
            <w:shd w:val="clear" w:color="auto" w:fill="F3F7FC"/>
          </w:tcPr>
          <w:p>
            <w:pPr>
              <w:spacing w:after="0"/>
            </w:pPr>
            <w:r/>
            <w:r>
              <w:rPr>
                <w:rFonts w:ascii="Calibri" w:hAnsi="Calibri" w:eastAsia="Calibri"/>
                <w:color w:val="14202E"/>
                <w:sz w:val="18"/>
              </w:rPr>
              <w:t>Minor at this magnitude</w:t>
            </w:r>
          </w:p>
        </w:tc>
      </w:tr>
    </w:tbl>
    <w:p>
      <w:pPr>
        <w:spacing w:before="280" w:after="100"/>
        <w:pBdr>
          <w:bottom w:val="single" w:sz="6" w:space="6" w:color="0F2A4A"/>
        </w:pBdr>
      </w:pPr>
      <w:r>
        <w:rPr>
          <w:rFonts w:ascii="Calibri" w:hAnsi="Calibri" w:eastAsia="Calibri"/>
          <w:b/>
          <w:color w:val="0F2A4A"/>
          <w:sz w:val="27"/>
        </w:rPr>
        <w:t>5  Report statement (sample wording)</w:t>
      </w:r>
    </w:p>
    <w:p>
      <w:pPr>
        <w:spacing w:after="100" w:line="269" w:lineRule="auto"/>
      </w:pPr>
      <w:r>
        <w:rPr>
          <w:rFonts w:ascii="Calibri" w:hAnsi="Calibri" w:eastAsia="Calibri"/>
          <w:b w:val="0"/>
          <w:i/>
          <w:color w:val="14202E"/>
          <w:sz w:val="21"/>
        </w:rPr>
        <w:t>“The expanded uncertainty of the measurand is U = 0.0508 (k = 2.03, approximately 95 % confidence). The dominant contribution is repeatability; the second contribution is the reference standard.” The full version generates a statement of this form from your own measurand, unit, components and coverage factor, with the traceability chain recorded.</w:t>
      </w:r>
    </w:p>
    <w:p>
      <w:pPr>
        <w:spacing w:before="280" w:after="100"/>
        <w:pBdr>
          <w:bottom w:val="single" w:sz="6" w:space="6" w:color="0F2A4A"/>
        </w:pBdr>
      </w:pPr>
      <w:r>
        <w:rPr>
          <w:rFonts w:ascii="Calibri" w:hAnsi="Calibri" w:eastAsia="Calibri"/>
          <w:b/>
          <w:color w:val="0F2A4A"/>
          <w:sz w:val="27"/>
        </w:rPr>
        <w:t>6  Traceability and records</w:t>
      </w:r>
    </w:p>
    <w:p>
      <w:pPr>
        <w:pStyle w:val="ListBullet"/>
        <w:spacing w:after="60"/>
      </w:pPr>
      <w:r>
        <w:rPr>
          <w:rFonts w:ascii="Calibri" w:hAnsi="Calibri" w:eastAsia="Calibri"/>
          <w:color w:val="5B6B7F"/>
          <w:sz w:val="21"/>
        </w:rPr>
        <w:t xml:space="preserve">Traceability — </w:t>
      </w:r>
      <w:r>
        <w:rPr>
          <w:rFonts w:ascii="Calibri" w:hAnsi="Calibri" w:eastAsia="Calibri"/>
          <w:b/>
          <w:color w:val="0F2A4A"/>
          <w:sz w:val="21"/>
        </w:rPr>
        <w:t>each input traceable to the SI through an unbroken chain of calibrations.</w:t>
      </w:r>
    </w:p>
    <w:p>
      <w:pPr>
        <w:pStyle w:val="ListBullet"/>
        <w:spacing w:after="60"/>
      </w:pPr>
      <w:r>
        <w:rPr>
          <w:rFonts w:ascii="Calibri" w:hAnsi="Calibri" w:eastAsia="Calibri"/>
          <w:color w:val="5B6B7F"/>
          <w:sz w:val="21"/>
        </w:rPr>
        <w:t xml:space="preserve">Records kept — </w:t>
      </w:r>
      <w:r>
        <w:rPr>
          <w:rFonts w:ascii="Calibri" w:hAnsi="Calibri" w:eastAsia="Calibri"/>
          <w:b/>
          <w:color w:val="0F2A4A"/>
          <w:sz w:val="21"/>
        </w:rPr>
        <w:t>budget, component data, calibration certificates, reviewer sign-off.</w:t>
      </w:r>
    </w:p>
    <w:p>
      <w:pPr>
        <w:pStyle w:val="ListBullet"/>
        <w:spacing w:after="60"/>
      </w:pPr>
      <w:r>
        <w:rPr>
          <w:rFonts w:ascii="Calibri" w:hAnsi="Calibri" w:eastAsia="Calibri"/>
          <w:color w:val="5B6B7F"/>
          <w:sz w:val="21"/>
        </w:rPr>
        <w:t xml:space="preserve">Review cycle — </w:t>
      </w:r>
      <w:r>
        <w:rPr>
          <w:rFonts w:ascii="Calibri" w:hAnsi="Calibri" w:eastAsia="Calibri"/>
          <w:b/>
          <w:color w:val="0F2A4A"/>
          <w:sz w:val="21"/>
        </w:rPr>
        <w:t>budgets re-validated when methods, equipment or scope change.</w:t>
      </w:r>
    </w:p>
    <w:p>
      <w:pPr>
        <w:spacing w:before="280" w:after="100"/>
        <w:pBdr>
          <w:bottom w:val="single" w:sz="6" w:space="6" w:color="0F2A4A"/>
        </w:pBdr>
      </w:pPr>
      <w:r>
        <w:rPr>
          <w:rFonts w:ascii="Calibri" w:hAnsi="Calibri" w:eastAsia="Calibri"/>
          <w:b/>
          <w:color w:val="0F2A4A"/>
          <w:sz w:val="27"/>
        </w:rPr>
        <w:t>7  What the full deliverable adds</w:t>
      </w:r>
    </w:p>
    <w:p>
      <w:pPr>
        <w:pStyle w:val="ListBullet"/>
        <w:spacing w:after="60"/>
      </w:pPr>
      <w:r>
        <w:rPr>
          <w:rFonts w:ascii="Calibri" w:hAnsi="Calibri" w:eastAsia="Calibri"/>
          <w:color w:val="5B6B7F"/>
          <w:sz w:val="21"/>
        </w:rPr>
        <w:t xml:space="preserve">Computed from YOUR components — </w:t>
      </w:r>
      <w:r>
        <w:rPr>
          <w:rFonts w:ascii="Calibri" w:hAnsi="Calibri" w:eastAsia="Calibri"/>
          <w:b/>
          <w:color w:val="0F2A4A"/>
          <w:sz w:val="21"/>
        </w:rPr>
        <w:t>any number, any distribution.</w:t>
      </w:r>
    </w:p>
    <w:p>
      <w:pPr>
        <w:pStyle w:val="ListBullet"/>
        <w:spacing w:after="60"/>
      </w:pPr>
      <w:r>
        <w:rPr>
          <w:rFonts w:ascii="Calibri" w:hAnsi="Calibri" w:eastAsia="Calibri"/>
          <w:color w:val="5B6B7F"/>
          <w:sz w:val="21"/>
        </w:rPr>
        <w:t xml:space="preserve">Welch–Satterthwaite ν_eff and t-based k — </w:t>
      </w:r>
      <w:r>
        <w:rPr>
          <w:rFonts w:ascii="Calibri" w:hAnsi="Calibri" w:eastAsia="Calibri"/>
          <w:b/>
          <w:color w:val="0F2A4A"/>
          <w:sz w:val="21"/>
        </w:rPr>
        <w:t>or Monte-Carlo (JCGM 101) on request.</w:t>
      </w:r>
    </w:p>
    <w:p>
      <w:pPr>
        <w:pStyle w:val="ListBullet"/>
        <w:spacing w:after="60"/>
      </w:pPr>
      <w:r>
        <w:rPr>
          <w:rFonts w:ascii="Calibri" w:hAnsi="Calibri" w:eastAsia="Calibri"/>
          <w:color w:val="5B6B7F"/>
          <w:sz w:val="21"/>
        </w:rPr>
        <w:t xml:space="preserve">Context-linked report — </w:t>
      </w:r>
      <w:r>
        <w:rPr>
          <w:rFonts w:ascii="Calibri" w:hAnsi="Calibri" w:eastAsia="Calibri"/>
          <w:b/>
          <w:color w:val="0F2A4A"/>
          <w:sz w:val="21"/>
        </w:rPr>
        <w:t>aligned to your body, industry and assessment stage.</w:t>
      </w:r>
    </w:p>
    <w:p>
      <w:pPr>
        <w:pStyle w:val="ListBullet"/>
        <w:spacing w:after="60"/>
      </w:pPr>
      <w:r>
        <w:rPr>
          <w:rFonts w:ascii="Calibri" w:hAnsi="Calibri" w:eastAsia="Calibri"/>
          <w:color w:val="5B6B7F"/>
          <w:sz w:val="21"/>
        </w:rPr>
        <w:t xml:space="preserve">Optimisation pass — </w:t>
      </w:r>
      <w:r>
        <w:rPr>
          <w:rFonts w:ascii="Calibri" w:hAnsi="Calibri" w:eastAsia="Calibri"/>
          <w:b/>
          <w:color w:val="0F2A4A"/>
          <w:sz w:val="21"/>
        </w:rPr>
        <w:t>upload an existing report and see where U can be reduced.</w:t>
      </w:r>
    </w:p>
    <w:p>
      <w:pPr>
        <w:pStyle w:val="ListBullet"/>
        <w:spacing w:after="60"/>
      </w:pPr>
      <w:r>
        <w:rPr>
          <w:rFonts w:ascii="Calibri" w:hAnsi="Calibri" w:eastAsia="Calibri"/>
          <w:color w:val="5B6B7F"/>
          <w:sz w:val="21"/>
        </w:rPr>
        <w:t xml:space="preserve">Exportable, watermark-free Word (.docx) — </w:t>
      </w:r>
      <w:r>
        <w:rPr>
          <w:rFonts w:ascii="Calibri" w:hAnsi="Calibri" w:eastAsia="Calibri"/>
          <w:b/>
          <w:color w:val="0F2A4A"/>
          <w:sz w:val="21"/>
        </w:rPr>
        <w:t>ready to attach to your scope.</w:t>
      </w:r>
    </w:p>
    <w:p>
      <w:pPr>
        <w:spacing w:after="80" w:line="269" w:lineRule="auto"/>
      </w:pPr>
      <w:r>
        <w:rPr>
          <w:rFonts w:ascii="Calibri" w:hAnsi="Calibri" w:eastAsia="Calibri"/>
          <w:b w:val="0"/>
          <w:i/>
          <w:color w:val="5B6B7F"/>
          <w:sz w:val="19"/>
        </w:rPr>
        <w:t>This is a generic demonstration sample produced by LabKitPro. It shows structure, wording and evidence logic only — none of your personalization inputs (country, accreditation body, industry, stage, uploaded documents) are applied. The full, tailored and watermark-free deliverable is generated from your context at labkitpro.com.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24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Calibri"/>
        <w:color w:val="94A3B8"/>
        <w:sz w:val="17"/>
      </w:rPr>
      <w:t xml:space="preserve">LabKitPro  ·  ISO/IEC 17025:2017 toolkit  ·  labkitpro.com        Page </w:t>
    </w:r>
    <w:r>
      <w:rPr>
        <w:rFonts w:ascii="Calibri" w:hAnsi="Calibri" w:eastAsia="Calibri"/>
        <w:color w:val="94A3B8"/>
        <w:sz w:val="17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 w:eastAsia="Calibri"/>
        <w:b/>
        <w:color w:val="94A3B8"/>
        <w:sz w:val="16"/>
      </w:rPr>
      <w:t>DEMO SAMPLE  ·  NOT A FULL DELIVERABLE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